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spacing w:after="156" w:afterLines="50" w:line="560" w:lineRule="exact"/>
        <w:jc w:val="center"/>
        <w:rPr>
          <w:rFonts w:ascii="Times New Roman" w:hAnsi="Times New Roman" w:eastAsia="楷体" w:cs="Times New Roman"/>
          <w:b/>
          <w:sz w:val="32"/>
          <w:szCs w:val="32"/>
        </w:rPr>
      </w:pPr>
      <w:r>
        <w:rPr>
          <w:rFonts w:ascii="Times New Roman" w:hAnsi="Times New Roman" w:eastAsia="楷体" w:cs="Times New Roman"/>
          <w:b/>
          <w:sz w:val="32"/>
          <w:szCs w:val="32"/>
        </w:rPr>
        <w:t>做好新证券法贯彻落实  开创公司高质量发展新局面</w:t>
      </w:r>
    </w:p>
    <w:p>
      <w:pPr>
        <w:spacing w:after="156" w:afterLines="50" w:line="560" w:lineRule="exact"/>
        <w:ind w:firstLine="560" w:firstLineChars="200"/>
        <w:rPr>
          <w:rFonts w:ascii="Times New Roman" w:hAnsi="Times New Roman" w:eastAsia="楷体" w:cs="Times New Roman"/>
          <w:sz w:val="28"/>
          <w:szCs w:val="28"/>
        </w:rPr>
      </w:pPr>
      <w:bookmarkStart w:id="0" w:name="_GoBack"/>
      <w:bookmarkEnd w:id="0"/>
      <w:r>
        <w:rPr>
          <w:rFonts w:ascii="Times New Roman" w:hAnsi="Times New Roman" w:eastAsia="楷体" w:cs="Times New Roman"/>
          <w:sz w:val="28"/>
          <w:szCs w:val="28"/>
        </w:rPr>
        <w:t>新证券法的实施，推动中国资本市场进入了一个全新的发展时代。打造一个规范、透明、开放、有活力、有韧性的资本市场已成为整个市场参与人士的共识。对于此，金融街在学习贯彻落实新证券法的过程中深有体会。</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作为上市公司金融街的</w:t>
      </w:r>
      <w:r>
        <w:rPr>
          <w:rFonts w:hint="eastAsia" w:ascii="Times New Roman" w:hAnsi="Times New Roman" w:eastAsia="楷体" w:cs="Times New Roman"/>
          <w:sz w:val="28"/>
          <w:szCs w:val="28"/>
        </w:rPr>
        <w:t>负责</w:t>
      </w:r>
      <w:r>
        <w:rPr>
          <w:rFonts w:ascii="Times New Roman" w:hAnsi="Times New Roman" w:eastAsia="楷体" w:cs="Times New Roman"/>
          <w:sz w:val="28"/>
          <w:szCs w:val="28"/>
        </w:rPr>
        <w:t>人，在多年的工作实践中我充分认识到严格依法办事，筑牢底线思维，切实保护投资者权益的重要性。我从不敢掉以轻心，因为深知在我们的身后牵动着的是成千上万员工、投资者和客户的权益。我们既是这样想的，更是</w:t>
      </w:r>
      <w:r>
        <w:rPr>
          <w:rFonts w:hint="eastAsia" w:ascii="Times New Roman" w:hAnsi="Times New Roman" w:eastAsia="楷体" w:cs="Times New Roman"/>
          <w:sz w:val="28"/>
          <w:szCs w:val="28"/>
        </w:rPr>
        <w:t>努力</w:t>
      </w:r>
      <w:r>
        <w:rPr>
          <w:rFonts w:ascii="Times New Roman" w:hAnsi="Times New Roman" w:eastAsia="楷体" w:cs="Times New Roman"/>
          <w:sz w:val="28"/>
          <w:szCs w:val="28"/>
        </w:rPr>
        <w:t>这样做的，公司自2000年资产置换上市后，连续二十年实施现金分红，已累计现金分红近100亿元。</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公司管理团队自愿投身到投资者关系管理工作中，为公司发展不断助力使金融街受益匪浅</w:t>
      </w:r>
      <w:r>
        <w:rPr>
          <w:rFonts w:hint="eastAsia" w:ascii="Times New Roman" w:hAnsi="Times New Roman" w:eastAsia="楷体" w:cs="Times New Roman"/>
          <w:sz w:val="28"/>
          <w:szCs w:val="28"/>
        </w:rPr>
        <w:t>。金融街</w:t>
      </w:r>
      <w:r>
        <w:rPr>
          <w:rFonts w:ascii="Times New Roman" w:hAnsi="Times New Roman" w:eastAsia="楷体" w:cs="Times New Roman"/>
          <w:sz w:val="28"/>
          <w:szCs w:val="28"/>
        </w:rPr>
        <w:t>今年在积极参与抗击新冠肺炎疫情斗争的同时，积极创新投资者关系管理工作内容，利用线上模式主动开展投资者沟通，并把这种沟通有机地渗透到公司融资工作中去。疫情期间公司抗疫复工两不误，成功发行了三期共73亿元超短期融资券和80亿元金融街中心资产支持专项计划，这些</w:t>
      </w:r>
      <w:r>
        <w:rPr>
          <w:rFonts w:hint="eastAsia" w:ascii="Times New Roman" w:hAnsi="Times New Roman" w:eastAsia="楷体" w:cs="Times New Roman"/>
          <w:sz w:val="28"/>
          <w:szCs w:val="28"/>
        </w:rPr>
        <w:t>发行的成功得益于</w:t>
      </w:r>
      <w:r>
        <w:rPr>
          <w:rFonts w:ascii="Times New Roman" w:hAnsi="Times New Roman" w:eastAsia="楷体" w:cs="Times New Roman"/>
          <w:sz w:val="28"/>
          <w:szCs w:val="28"/>
        </w:rPr>
        <w:t>我们长期以来高度重视投资者</w:t>
      </w:r>
      <w:r>
        <w:rPr>
          <w:rFonts w:hint="eastAsia" w:ascii="Times New Roman" w:hAnsi="Times New Roman" w:eastAsia="楷体" w:cs="Times New Roman"/>
          <w:sz w:val="28"/>
          <w:szCs w:val="28"/>
        </w:rPr>
        <w:t>，更是投资者对金融街的支持和信任。</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公司</w:t>
      </w:r>
      <w:r>
        <w:rPr>
          <w:rFonts w:hint="eastAsia" w:ascii="Times New Roman" w:hAnsi="Times New Roman" w:eastAsia="楷体" w:cs="Times New Roman"/>
          <w:sz w:val="28"/>
          <w:szCs w:val="28"/>
        </w:rPr>
        <w:t>于</w:t>
      </w:r>
      <w:r>
        <w:rPr>
          <w:rFonts w:ascii="Times New Roman" w:hAnsi="Times New Roman" w:eastAsia="楷体" w:cs="Times New Roman"/>
          <w:sz w:val="28"/>
          <w:szCs w:val="28"/>
        </w:rPr>
        <w:t>2018年先后“入摩”“入富”</w:t>
      </w:r>
      <w:r>
        <w:rPr>
          <w:rFonts w:hint="eastAsia" w:ascii="Times New Roman" w:hAnsi="Times New Roman" w:eastAsia="楷体" w:cs="Times New Roman"/>
          <w:sz w:val="28"/>
          <w:szCs w:val="28"/>
        </w:rPr>
        <w:t>之</w:t>
      </w:r>
      <w:r>
        <w:rPr>
          <w:rFonts w:ascii="Times New Roman" w:hAnsi="Times New Roman" w:eastAsia="楷体" w:cs="Times New Roman"/>
          <w:sz w:val="28"/>
          <w:szCs w:val="28"/>
        </w:rPr>
        <w:t>后，面对的是更加开放的国际化市场要求，如何让投资者关系管理工作与时俱进，积极主动与国际接轨也是我们这两年正在积极探索的。</w:t>
      </w:r>
      <w:r>
        <w:rPr>
          <w:rFonts w:hint="eastAsia" w:ascii="Times New Roman" w:hAnsi="Times New Roman" w:eastAsia="楷体" w:cs="Times New Roman"/>
          <w:sz w:val="28"/>
          <w:szCs w:val="28"/>
        </w:rPr>
        <w:t>随着中国资本市场的逐步对外开放，越来越多的投资机构在衡量上市公司质量时，在考量传统财务指标的同时，也在逐步增加非财务指标的权重，将环境绩效、社会绩效和公司治理摆在了更重要的位置，积极履行社会责任的上市公司得到了更多投资者的支持。</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基业长青，建筑永恒”是金融街秉承的绿色产品理念。我们按照可持续发展管理体系，全面梳理项目全生命周期的绿色节能规划，执行全盘实现绿色建筑标准的可持续发展理念，落实从项目设计、施工采购、项目交付和物业管理的“四环保”的节能要求。</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在践行社会责任方面，金融街用实际行动诠释“担当”。2020年年初以来，新冠肺炎疫情的蔓延。在这场刻不容缓、没有硝烟的疫情防控阻击战中，金融街人迎难而上，责任不缺席。在客户支持方面，对受疫情影响的中小微客户，我们采取缓交、减免租金等形式与客户同舟共济、共克时艰；在社区防护方面，金融街人义不容辞，近四百人次志愿者和社区工作者一起构筑了抗击疫情群防群治的严密防线。</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在员工关爱方面，公司一直将人力资源作为公司最重要、最宝贵的资源。通过加强梯队建设、深化机制改革、关心员工利益、丰富员工生活，构建和谐企业，2019年公司员工满意度达到87%，连续多年高于房地产行业平均水平和最佳雇主满意度水平。2018年，公司更是作为中国房地产企业第1名、中国企业第11名，进入《福布斯》发布全球最佳雇主榜单。</w:t>
      </w:r>
    </w:p>
    <w:p>
      <w:pPr>
        <w:spacing w:after="156" w:afterLines="50" w:line="56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金融街以</w:t>
      </w:r>
      <w:r>
        <w:rPr>
          <w:rFonts w:ascii="Times New Roman" w:hAnsi="Times New Roman" w:eastAsia="楷体" w:cs="Times New Roman"/>
          <w:sz w:val="28"/>
          <w:szCs w:val="28"/>
        </w:rPr>
        <w:t>依法依规做好信息披露</w:t>
      </w:r>
      <w:r>
        <w:rPr>
          <w:rFonts w:hint="eastAsia" w:ascii="Times New Roman" w:hAnsi="Times New Roman" w:eastAsia="楷体" w:cs="Times New Roman"/>
          <w:sz w:val="28"/>
          <w:szCs w:val="28"/>
        </w:rPr>
        <w:t>为抓手</w:t>
      </w:r>
      <w:r>
        <w:rPr>
          <w:rFonts w:ascii="Times New Roman" w:hAnsi="Times New Roman" w:eastAsia="楷体" w:cs="Times New Roman"/>
          <w:sz w:val="28"/>
          <w:szCs w:val="28"/>
        </w:rPr>
        <w:t>，</w:t>
      </w:r>
      <w:r>
        <w:rPr>
          <w:rFonts w:hint="eastAsia" w:ascii="Times New Roman" w:hAnsi="Times New Roman" w:eastAsia="楷体" w:cs="Times New Roman"/>
          <w:sz w:val="28"/>
          <w:szCs w:val="28"/>
        </w:rPr>
        <w:t>坚守合规治理、诚实守信的底线。</w:t>
      </w:r>
      <w:r>
        <w:rPr>
          <w:rFonts w:ascii="Times New Roman" w:hAnsi="Times New Roman" w:eastAsia="楷体" w:cs="Times New Roman"/>
          <w:sz w:val="28"/>
          <w:szCs w:val="28"/>
        </w:rPr>
        <w:t>保障投资者知情权，这</w:t>
      </w:r>
      <w:r>
        <w:rPr>
          <w:rFonts w:hint="eastAsia" w:ascii="Times New Roman" w:hAnsi="Times New Roman" w:eastAsia="楷体" w:cs="Times New Roman"/>
          <w:sz w:val="28"/>
          <w:szCs w:val="28"/>
        </w:rPr>
        <w:t>既是</w:t>
      </w:r>
      <w:r>
        <w:rPr>
          <w:rFonts w:ascii="Times New Roman" w:hAnsi="Times New Roman" w:eastAsia="楷体" w:cs="Times New Roman"/>
          <w:sz w:val="28"/>
          <w:szCs w:val="28"/>
        </w:rPr>
        <w:t>新证券法再一次强调的内容，也是我们金融街一贯坚持的原则。因为我们深知只有时刻想投资者所想，我们才能带领团队不断提高信息披露的质量和有效性</w:t>
      </w:r>
      <w:r>
        <w:rPr>
          <w:rFonts w:hint="eastAsia" w:ascii="Times New Roman" w:hAnsi="Times New Roman" w:eastAsia="楷体" w:cs="Times New Roman"/>
          <w:sz w:val="28"/>
          <w:szCs w:val="28"/>
        </w:rPr>
        <w:t>，最终守护的，是投资者的知情权，是投资者对上市公司的信任。</w:t>
      </w:r>
      <w:r>
        <w:rPr>
          <w:rFonts w:ascii="Times New Roman" w:hAnsi="Times New Roman" w:eastAsia="楷体" w:cs="Times New Roman"/>
          <w:sz w:val="28"/>
          <w:szCs w:val="28"/>
        </w:rPr>
        <w:t>金融街连续十年被深圳证券交易所评定为信息披露优秀公司，这是</w:t>
      </w:r>
      <w:r>
        <w:rPr>
          <w:rFonts w:hint="eastAsia" w:ascii="Times New Roman" w:hAnsi="Times New Roman" w:eastAsia="楷体" w:cs="Times New Roman"/>
          <w:sz w:val="28"/>
          <w:szCs w:val="28"/>
        </w:rPr>
        <w:t>对</w:t>
      </w:r>
      <w:r>
        <w:rPr>
          <w:rFonts w:ascii="Times New Roman" w:hAnsi="Times New Roman" w:eastAsia="楷体" w:cs="Times New Roman"/>
          <w:sz w:val="28"/>
          <w:szCs w:val="28"/>
        </w:rPr>
        <w:t>我们</w:t>
      </w:r>
      <w:r>
        <w:rPr>
          <w:rFonts w:hint="eastAsia" w:ascii="Times New Roman" w:hAnsi="Times New Roman" w:eastAsia="楷体" w:cs="Times New Roman"/>
          <w:sz w:val="28"/>
          <w:szCs w:val="28"/>
        </w:rPr>
        <w:t>完善的公司治理体系最好褒奖。</w:t>
      </w:r>
    </w:p>
    <w:p>
      <w:pPr>
        <w:spacing w:after="156" w:afterLines="50" w:line="56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总之，</w:t>
      </w:r>
      <w:r>
        <w:rPr>
          <w:rFonts w:hint="eastAsia" w:ascii="Times New Roman" w:hAnsi="Times New Roman" w:eastAsia="楷体" w:cs="Times New Roman"/>
          <w:sz w:val="28"/>
          <w:szCs w:val="28"/>
        </w:rPr>
        <w:t>金融街会</w:t>
      </w:r>
      <w:r>
        <w:rPr>
          <w:rFonts w:ascii="Times New Roman" w:hAnsi="Times New Roman" w:eastAsia="楷体" w:cs="Times New Roman"/>
          <w:sz w:val="28"/>
          <w:szCs w:val="28"/>
        </w:rPr>
        <w:t>在今后新证券法的进一步贯彻落实过程中，对投资者关系管理工作不断革故鼎新，切实做好投资者权益保障工作，持续完善和</w:t>
      </w:r>
      <w:r>
        <w:rPr>
          <w:rFonts w:hint="eastAsia" w:ascii="Times New Roman" w:hAnsi="Times New Roman" w:eastAsia="楷体" w:cs="Times New Roman"/>
          <w:sz w:val="28"/>
          <w:szCs w:val="28"/>
        </w:rPr>
        <w:t>优化</w:t>
      </w:r>
      <w:r>
        <w:rPr>
          <w:rFonts w:ascii="Times New Roman" w:hAnsi="Times New Roman" w:eastAsia="楷体" w:cs="Times New Roman"/>
          <w:sz w:val="28"/>
          <w:szCs w:val="28"/>
        </w:rPr>
        <w:t>公司法人治理结构</w:t>
      </w:r>
      <w:r>
        <w:rPr>
          <w:rFonts w:hint="eastAsia" w:ascii="Times New Roman" w:hAnsi="Times New Roman" w:eastAsia="楷体" w:cs="Times New Roman"/>
          <w:sz w:val="28"/>
          <w:szCs w:val="28"/>
        </w:rPr>
        <w:t>的同时</w:t>
      </w:r>
      <w:r>
        <w:rPr>
          <w:rFonts w:ascii="Times New Roman" w:hAnsi="Times New Roman" w:eastAsia="楷体" w:cs="Times New Roman"/>
          <w:sz w:val="28"/>
          <w:szCs w:val="28"/>
        </w:rPr>
        <w:t>，</w:t>
      </w:r>
      <w:r>
        <w:rPr>
          <w:rFonts w:hint="eastAsia" w:ascii="Times New Roman" w:hAnsi="Times New Roman" w:eastAsia="楷体" w:cs="Times New Roman"/>
          <w:sz w:val="28"/>
          <w:szCs w:val="28"/>
        </w:rPr>
        <w:t>不忘践行社会责任，</w:t>
      </w:r>
      <w:r>
        <w:rPr>
          <w:rFonts w:ascii="Times New Roman" w:hAnsi="Times New Roman" w:eastAsia="楷体" w:cs="Times New Roman"/>
          <w:sz w:val="28"/>
          <w:szCs w:val="28"/>
        </w:rPr>
        <w:t>开创公司高质量发展新局面。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B3"/>
    <w:rsid w:val="00022076"/>
    <w:rsid w:val="00045741"/>
    <w:rsid w:val="000707AE"/>
    <w:rsid w:val="000779D9"/>
    <w:rsid w:val="000928E5"/>
    <w:rsid w:val="000E5B2D"/>
    <w:rsid w:val="00115489"/>
    <w:rsid w:val="00190722"/>
    <w:rsid w:val="00240E8C"/>
    <w:rsid w:val="00274885"/>
    <w:rsid w:val="0027617B"/>
    <w:rsid w:val="002A01B3"/>
    <w:rsid w:val="002E5365"/>
    <w:rsid w:val="003206EF"/>
    <w:rsid w:val="00340C48"/>
    <w:rsid w:val="003514C8"/>
    <w:rsid w:val="00356C1C"/>
    <w:rsid w:val="003651CE"/>
    <w:rsid w:val="003E2EC3"/>
    <w:rsid w:val="004148F8"/>
    <w:rsid w:val="00480606"/>
    <w:rsid w:val="00484E6D"/>
    <w:rsid w:val="004A1DE2"/>
    <w:rsid w:val="004B2D27"/>
    <w:rsid w:val="004E4226"/>
    <w:rsid w:val="004F2818"/>
    <w:rsid w:val="00506854"/>
    <w:rsid w:val="00632092"/>
    <w:rsid w:val="00663F86"/>
    <w:rsid w:val="006729CD"/>
    <w:rsid w:val="006B1B0C"/>
    <w:rsid w:val="006B5746"/>
    <w:rsid w:val="00724C28"/>
    <w:rsid w:val="00756D02"/>
    <w:rsid w:val="007834A7"/>
    <w:rsid w:val="00791CBA"/>
    <w:rsid w:val="007D5574"/>
    <w:rsid w:val="007D5F2D"/>
    <w:rsid w:val="00812B85"/>
    <w:rsid w:val="008C6F98"/>
    <w:rsid w:val="008E1BB4"/>
    <w:rsid w:val="00922590"/>
    <w:rsid w:val="009B6AB3"/>
    <w:rsid w:val="009D20B6"/>
    <w:rsid w:val="009E2990"/>
    <w:rsid w:val="00A167FD"/>
    <w:rsid w:val="00A6511B"/>
    <w:rsid w:val="00AA257F"/>
    <w:rsid w:val="00AD79BD"/>
    <w:rsid w:val="00AE393D"/>
    <w:rsid w:val="00AF62DC"/>
    <w:rsid w:val="00B2793C"/>
    <w:rsid w:val="00B32EB3"/>
    <w:rsid w:val="00B54702"/>
    <w:rsid w:val="00BA5397"/>
    <w:rsid w:val="00BC27AF"/>
    <w:rsid w:val="00CA342E"/>
    <w:rsid w:val="00CC1F19"/>
    <w:rsid w:val="00E1106D"/>
    <w:rsid w:val="00ED6465"/>
    <w:rsid w:val="00F17F46"/>
    <w:rsid w:val="00F71AD0"/>
    <w:rsid w:val="00F74961"/>
    <w:rsid w:val="00F765C1"/>
    <w:rsid w:val="00F85058"/>
    <w:rsid w:val="00F97058"/>
    <w:rsid w:val="00FF5CFC"/>
    <w:rsid w:val="341668FE"/>
    <w:rsid w:val="4CA4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rFonts w:ascii="Calibri" w:hAnsi="Calibri" w:eastAsia="宋体" w:cs="宋体"/>
      <w:sz w:val="18"/>
      <w:szCs w:val="18"/>
    </w:rPr>
  </w:style>
  <w:style w:type="character" w:customStyle="1" w:styleId="8">
    <w:name w:val="页眉 字符"/>
    <w:basedOn w:val="6"/>
    <w:link w:val="4"/>
    <w:qFormat/>
    <w:uiPriority w:val="99"/>
    <w:rPr>
      <w:rFonts w:ascii="Calibri" w:hAnsi="Calibri" w:eastAsia="宋体" w:cs="宋体"/>
      <w:sz w:val="18"/>
      <w:szCs w:val="18"/>
    </w:rPr>
  </w:style>
  <w:style w:type="character" w:customStyle="1" w:styleId="9">
    <w:name w:val="页脚 字符"/>
    <w:basedOn w:val="6"/>
    <w:link w:val="3"/>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86F74-0A90-4B6F-8E7C-1B31A9C7CE6A}">
  <ds:schemaRefs/>
</ds:datastoreItem>
</file>

<file path=docProps/app.xml><?xml version="1.0" encoding="utf-8"?>
<Properties xmlns="http://schemas.openxmlformats.org/officeDocument/2006/extended-properties" xmlns:vt="http://schemas.openxmlformats.org/officeDocument/2006/docPropsVTypes">
  <Template>Normal</Template>
  <Pages>3</Pages>
  <Words>216</Words>
  <Characters>1236</Characters>
  <Lines>10</Lines>
  <Paragraphs>2</Paragraphs>
  <TotalTime>1</TotalTime>
  <ScaleCrop>false</ScaleCrop>
  <LinksUpToDate>false</LinksUpToDate>
  <CharactersWithSpaces>1450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2020-04-16T10:53:00Z</dcterms:created>
  <dc:creator>69493</dc:creator>
  <cp:lastModifiedBy>马晓鹏</cp:lastModifiedBy>
  <cp:lastPrinted>2020-05-12T05:34:00Z</cp:lastPrinted>
  <dcterms:modified xsi:type="dcterms:W3CDTF">2020-05-27T09:27:33Z</dcterms:modified>
  <dc:title>“诚实守信 做受尊敬的上市公司”投资者保护专项行动系列宣传文章</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